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BFEEA" w14:textId="3D09144E" w:rsidR="009251FB" w:rsidRDefault="009251FB" w:rsidP="009251FB">
      <w:pPr>
        <w:ind w:firstLine="708"/>
      </w:pPr>
      <w:r>
        <w:t>Wydłużenie projektu jest uzasadnione z perspektywy biznesowej i technologicznej. Pozwoli ono na pełne wykorzystanie potencjału robotyzacji i automatyzacji procesów, zwiększenie efektywności operacyjnej oraz zapewni skalowalność rozwiązania. Dodatkowy czas umożliwi wdrożenie funkcjonalności odpowiadających na realne potrzeby użytkowników.</w:t>
      </w:r>
    </w:p>
    <w:p w14:paraId="0B5C2CA8" w14:textId="00F2B24F" w:rsidR="002F658D" w:rsidRDefault="008214C4" w:rsidP="009251FB">
      <w:pPr>
        <w:ind w:firstLine="708"/>
      </w:pPr>
      <w:r>
        <w:t xml:space="preserve">Potrzeba wydłużenia </w:t>
      </w:r>
      <w:r w:rsidR="00640D45">
        <w:t>projektu wynika z konieczności dostarczenia w jak najszybszym czasie produktu końcowego użytkownikom</w:t>
      </w:r>
      <w:r w:rsidR="009251FB">
        <w:t>,</w:t>
      </w:r>
      <w:r w:rsidR="00640D45">
        <w:t xml:space="preserve"> przy jednoczesnym dalszym rozwoju nowego systemu obsługującego elektroniczne postępowanie upominawcze (EPU 3.0). W trakcie analizy wymagań użytkowników zidentyfikowano wiele procesów biznesowych, które wymagają optymalizacji oraz mogą zostać zautomatyzowane. </w:t>
      </w:r>
      <w:r w:rsidR="009251FB" w:rsidRPr="009251FB">
        <w:t>Projekt wykazał realne potrzeby użytkowników, które nie były pierwotnie objęte zakresem. Ich wdrożenie zwiększy adopcję systemu i jego realną wartość biznesową.</w:t>
      </w:r>
      <w:r w:rsidR="009251FB">
        <w:t xml:space="preserve"> </w:t>
      </w:r>
      <w:r w:rsidR="009251FB" w:rsidRPr="009251FB">
        <w:t>Wydłużenie projektu pozwoli na wprowadzenie dodatkowych funkcjonalności automatyzujących procesy, co przełoży się na znaczące oszczędności czasu i redukcję błędów operacyjnych.</w:t>
      </w:r>
      <w:r w:rsidR="009251FB">
        <w:t xml:space="preserve"> </w:t>
      </w:r>
      <w:r w:rsidR="009251FB" w:rsidRPr="009251FB">
        <w:t>Niepełne wdrożenie automatyzacji może skutkować powrotem do ręcznych obejść, co niesie ryzyko błędów i nieefektywności.</w:t>
      </w:r>
      <w:r w:rsidR="009251FB">
        <w:t xml:space="preserve"> Co więcej, wydłużenie projektu umożliwi stworzenie skalowalnych fundamentów technologicznych na potrzeby przyszłych inicjatyw cyfrowych.</w:t>
      </w:r>
    </w:p>
    <w:p w14:paraId="79AF361F" w14:textId="51BC30A8" w:rsidR="009007C5" w:rsidRDefault="009007C5" w:rsidP="009251FB">
      <w:pPr>
        <w:ind w:firstLine="708"/>
      </w:pPr>
    </w:p>
    <w:p w14:paraId="3BA389E7" w14:textId="79C3168E" w:rsidR="009007C5" w:rsidRPr="009007C5" w:rsidRDefault="009007C5" w:rsidP="009251FB">
      <w:pPr>
        <w:ind w:firstLine="708"/>
        <w:rPr>
          <w:b/>
        </w:rPr>
      </w:pPr>
      <w:r w:rsidRPr="009007C5">
        <w:rPr>
          <w:b/>
        </w:rPr>
        <w:t xml:space="preserve">Przykłady dla Instytucji Pośredniczącej: </w:t>
      </w:r>
    </w:p>
    <w:p w14:paraId="4C454EB4" w14:textId="03013F26" w:rsidR="009007C5" w:rsidRDefault="009007C5" w:rsidP="009251FB">
      <w:pPr>
        <w:ind w:firstLine="708"/>
      </w:pPr>
      <w:r>
        <w:t xml:space="preserve">1. </w:t>
      </w:r>
      <w:r w:rsidRPr="009E41E2">
        <w:rPr>
          <w:b/>
        </w:rPr>
        <w:t>Chat bot dla użytkowników zewnętrznych</w:t>
      </w:r>
      <w:r>
        <w:t xml:space="preserve">, który ułatwi rozwiązanie nieskomplikowanych problemów technicznych oraz udzieli użytkownikowi informacji w zakresie funkcjonowania systemu teleinformatycznego, np. gdzie znaleźć formularz do wniesienia sprzeciwu od nakazu zapłaty lub z którego miejsca w systemie dołączyć do sprawy w toku. Przyspieszy to uzyskanie informacji przez użytkownika oraz zmniejszy liczbę zgłoszeń do Pomocy Technicznej. </w:t>
      </w:r>
    </w:p>
    <w:p w14:paraId="1F29AEA4" w14:textId="2DC1FA0A" w:rsidR="009E41E2" w:rsidRDefault="009007C5" w:rsidP="009251FB">
      <w:pPr>
        <w:ind w:firstLine="708"/>
      </w:pPr>
      <w:r>
        <w:t xml:space="preserve">2. </w:t>
      </w:r>
      <w:r w:rsidR="009E41E2" w:rsidRPr="009E41E2">
        <w:rPr>
          <w:b/>
        </w:rPr>
        <w:t>Automatyczna kategoryzacja spraw</w:t>
      </w:r>
      <w:r w:rsidR="009E41E2">
        <w:t xml:space="preserve"> (dla użytkowników wewnętrznych), która znacznie odciąży orzekających w wykonywaniu codziennych powtarzalnych czynności wyszukiwania różnego rodzaju spraw. System będzie segregował sprawy wg wcześniej określonych warunków, np. stanu sprawy, daty doręczenia, obecności pism w sprawie i upływu czasu agregując sprawy spełniające te warunki w jednym widoku. </w:t>
      </w:r>
      <w:r w:rsidR="00B4684D">
        <w:t xml:space="preserve">Orzekający po weryfikacji prawidłowości spełnienia warunków będzie wydawał jeden rodzaj decyzji w wielu sprawach. Przedmiotem dalszej analizy jest, czy koncepcję kategoryzacji można zastosować do użytkowników Sekretariatu. </w:t>
      </w:r>
    </w:p>
    <w:p w14:paraId="4E805386" w14:textId="2F11FA18" w:rsidR="009E41E2" w:rsidRDefault="00B4684D" w:rsidP="009251FB">
      <w:pPr>
        <w:ind w:firstLine="708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737702" wp14:editId="2FA4F5F7">
            <wp:simplePos x="0" y="0"/>
            <wp:positionH relativeFrom="column">
              <wp:posOffset>3253105</wp:posOffset>
            </wp:positionH>
            <wp:positionV relativeFrom="paragraph">
              <wp:posOffset>782954</wp:posOffset>
            </wp:positionV>
            <wp:extent cx="146592" cy="142875"/>
            <wp:effectExtent l="0" t="0" r="635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6" cy="147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- </w:t>
      </w:r>
      <w:r>
        <w:rPr>
          <w:noProof/>
        </w:rPr>
        <w:drawing>
          <wp:inline distT="0" distB="0" distL="0" distR="0" wp14:anchorId="06EA1B29" wp14:editId="47A88360">
            <wp:extent cx="5017135" cy="113142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819" cy="11755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9A3D49" w14:textId="77777777" w:rsidR="00B4684D" w:rsidRDefault="00B4684D" w:rsidP="009251FB">
      <w:pPr>
        <w:ind w:firstLine="708"/>
      </w:pPr>
    </w:p>
    <w:p w14:paraId="365CB76D" w14:textId="4E1E1A3C" w:rsidR="00B4684D" w:rsidRDefault="009E41E2" w:rsidP="009251FB">
      <w:pPr>
        <w:ind w:firstLine="708"/>
      </w:pPr>
      <w:r>
        <w:t xml:space="preserve">3. </w:t>
      </w:r>
      <w:r w:rsidR="00B4684D" w:rsidRPr="00B4684D">
        <w:rPr>
          <w:b/>
        </w:rPr>
        <w:t>Algorytmy oceny doręczeń</w:t>
      </w:r>
      <w:r w:rsidR="00B4684D">
        <w:t xml:space="preserve"> na podstawie Elektronicznego Potwierdzenia Odbioru oraz karty EPO. System – na podstawie dat i statusów odbieranych od operatora pocztowego za pośrednictwem systemu MS EPU będzie: </w:t>
      </w:r>
    </w:p>
    <w:p w14:paraId="73E13CE5" w14:textId="04A2DFF6" w:rsidR="00B4684D" w:rsidRDefault="00B4684D" w:rsidP="009251FB">
      <w:pPr>
        <w:ind w:firstLine="708"/>
      </w:pPr>
      <w:r>
        <w:t xml:space="preserve">- sugerował ocenę prawidłowości doręczenia stronie oraz datę tzw. doręczenia zastępczego, o którym mowa w art. 139 k.p.c. (podwójne awizo) poprzez weryfikację czy daty awizowania przesyłki oraz zwrotu przesyłki spełniają wymagania przepisów prawa oraz sugerował daty: uznania przesyłki za doręczoną oraz uprawomocnienia się decyzji, </w:t>
      </w:r>
    </w:p>
    <w:p w14:paraId="77769D0E" w14:textId="27684A00" w:rsidR="00B4684D" w:rsidRDefault="00571B38" w:rsidP="009251FB">
      <w:pPr>
        <w:ind w:firstLine="708"/>
      </w:pPr>
      <w:r>
        <w:lastRenderedPageBreak/>
        <w:t xml:space="preserve">- sugerował ocenę, czy czynności Poczty Polskiej podczas doręczania przesyłki zostały wykonane terminowo w kontekście umowy na usługi pocztowe i sygnalizował ewentualną konieczność reklamacji przesyłki. </w:t>
      </w:r>
    </w:p>
    <w:p w14:paraId="61E0455B" w14:textId="4DD147E8" w:rsidR="009007C5" w:rsidRDefault="00B4684D" w:rsidP="009251FB">
      <w:pPr>
        <w:ind w:firstLine="708"/>
      </w:pPr>
      <w:r w:rsidRPr="00B4684D">
        <w:t>4.</w:t>
      </w:r>
      <w:r>
        <w:rPr>
          <w:b/>
        </w:rPr>
        <w:t xml:space="preserve"> </w:t>
      </w:r>
      <w:r w:rsidR="009007C5" w:rsidRPr="009E41E2">
        <w:rPr>
          <w:b/>
        </w:rPr>
        <w:t>Automatyzacja i personalizacja powiadomień</w:t>
      </w:r>
      <w:r w:rsidR="009007C5">
        <w:t xml:space="preserve"> dla użytkowników wewnętrznych, czyli funkcjonalność umożliwiająca oznaczenie wybranych spraw jako „szczególnych</w:t>
      </w:r>
      <w:r w:rsidR="009E41E2">
        <w:t>”</w:t>
      </w:r>
      <w:r w:rsidR="009007C5">
        <w:t xml:space="preserve"> z możliwością dodania do kalendarza w systemie powiadomienia o konieczności podjęcia określonych czynności</w:t>
      </w:r>
      <w:r w:rsidR="009E41E2">
        <w:t xml:space="preserve"> w określonym terminie.</w:t>
      </w:r>
      <w:r w:rsidR="009007C5">
        <w:t xml:space="preserve"> </w:t>
      </w:r>
    </w:p>
    <w:sectPr w:rsidR="00900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A36FBF"/>
    <w:multiLevelType w:val="hybridMultilevel"/>
    <w:tmpl w:val="EFD44744"/>
    <w:lvl w:ilvl="0" w:tplc="89AC1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C07ED0">
      <w:numFmt w:val="none"/>
      <w:lvlText w:val=""/>
      <w:lvlJc w:val="left"/>
      <w:pPr>
        <w:tabs>
          <w:tab w:val="num" w:pos="360"/>
        </w:tabs>
      </w:pPr>
    </w:lvl>
    <w:lvl w:ilvl="2" w:tplc="6A080C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9CD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D21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C8A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F62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26B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E65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2433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A9"/>
    <w:rsid w:val="002962A9"/>
    <w:rsid w:val="002F658D"/>
    <w:rsid w:val="003A21ED"/>
    <w:rsid w:val="004A09E0"/>
    <w:rsid w:val="00571B38"/>
    <w:rsid w:val="00640D45"/>
    <w:rsid w:val="008214C4"/>
    <w:rsid w:val="009007C5"/>
    <w:rsid w:val="009251FB"/>
    <w:rsid w:val="009E41E2"/>
    <w:rsid w:val="00B4684D"/>
    <w:rsid w:val="00C9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3D21"/>
  <w15:chartTrackingRefBased/>
  <w15:docId w15:val="{1395DAEF-680C-462D-BAFE-04ACF36C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A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9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9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9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0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104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3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Terpin</dc:creator>
  <cp:keywords/>
  <dc:description/>
  <cp:lastModifiedBy>Duma Joanna</cp:lastModifiedBy>
  <cp:revision>2</cp:revision>
  <dcterms:created xsi:type="dcterms:W3CDTF">2025-08-12T07:24:00Z</dcterms:created>
  <dcterms:modified xsi:type="dcterms:W3CDTF">2025-08-12T07:24:00Z</dcterms:modified>
</cp:coreProperties>
</file>